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4381E" w14:textId="77777777" w:rsidR="00BE62AD" w:rsidRDefault="00BE62AD">
      <w:pPr>
        <w:pStyle w:val="BodyText"/>
        <w:rPr>
          <w:rFonts w:ascii="Times New Roman"/>
          <w:sz w:val="20"/>
        </w:rPr>
      </w:pPr>
    </w:p>
    <w:p w14:paraId="7189C2CB" w14:textId="77777777" w:rsidR="00BE62AD" w:rsidRDefault="00BE62AD">
      <w:pPr>
        <w:pStyle w:val="BodyText"/>
        <w:rPr>
          <w:rFonts w:ascii="Times New Roman"/>
          <w:sz w:val="20"/>
        </w:rPr>
      </w:pPr>
    </w:p>
    <w:p w14:paraId="4D02E0B4" w14:textId="77777777" w:rsidR="00BE62AD" w:rsidRDefault="00BE62AD">
      <w:pPr>
        <w:pStyle w:val="BodyText"/>
        <w:rPr>
          <w:rFonts w:ascii="Times New Roman"/>
          <w:sz w:val="20"/>
        </w:rPr>
      </w:pPr>
    </w:p>
    <w:p w14:paraId="02733615" w14:textId="77777777" w:rsidR="00BE62AD" w:rsidRDefault="00BE62AD">
      <w:pPr>
        <w:pStyle w:val="BodyText"/>
        <w:rPr>
          <w:rFonts w:ascii="Times New Roman"/>
          <w:sz w:val="20"/>
        </w:rPr>
      </w:pPr>
    </w:p>
    <w:p w14:paraId="18EE6B32" w14:textId="77777777" w:rsidR="00BE62AD" w:rsidRDefault="00BE62AD">
      <w:pPr>
        <w:pStyle w:val="BodyText"/>
        <w:rPr>
          <w:rFonts w:ascii="Times New Roman"/>
          <w:sz w:val="20"/>
        </w:rPr>
      </w:pPr>
    </w:p>
    <w:p w14:paraId="0D930D0D" w14:textId="77777777" w:rsidR="00BE62AD" w:rsidRDefault="00BE62AD">
      <w:pPr>
        <w:pStyle w:val="BodyText"/>
        <w:rPr>
          <w:rFonts w:ascii="Times New Roman"/>
          <w:sz w:val="20"/>
        </w:rPr>
      </w:pPr>
    </w:p>
    <w:p w14:paraId="5D685276" w14:textId="77777777" w:rsidR="00BE62AD" w:rsidRDefault="00BE62AD">
      <w:pPr>
        <w:pStyle w:val="BodyText"/>
        <w:rPr>
          <w:rFonts w:ascii="Times New Roman"/>
          <w:sz w:val="20"/>
        </w:rPr>
      </w:pPr>
    </w:p>
    <w:p w14:paraId="06304F30" w14:textId="77777777" w:rsidR="00BE62AD" w:rsidRDefault="00BE62AD">
      <w:pPr>
        <w:pStyle w:val="BodyText"/>
        <w:spacing w:before="11"/>
        <w:rPr>
          <w:rFonts w:ascii="Times New Roman"/>
          <w:sz w:val="17"/>
        </w:rPr>
      </w:pPr>
    </w:p>
    <w:p w14:paraId="065AA182" w14:textId="77777777" w:rsidR="00BE62AD" w:rsidRDefault="00CF017E">
      <w:pPr>
        <w:pStyle w:val="Title"/>
      </w:pPr>
      <w:r>
        <w:rPr>
          <w:noProof/>
        </w:rPr>
        <w:drawing>
          <wp:anchor distT="0" distB="0" distL="0" distR="0" simplePos="0" relativeHeight="487462400" behindDoc="1" locked="0" layoutInCell="1" allowOverlap="1" wp14:anchorId="2E2F93DA" wp14:editId="7247D5EE">
            <wp:simplePos x="0" y="0"/>
            <wp:positionH relativeFrom="page">
              <wp:posOffset>2401672</wp:posOffset>
            </wp:positionH>
            <wp:positionV relativeFrom="paragraph">
              <wp:posOffset>-1157468</wp:posOffset>
            </wp:positionV>
            <wp:extent cx="2670657" cy="12407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657" cy="1240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Abastecimento de água a Navios</w:t>
      </w:r>
    </w:p>
    <w:p w14:paraId="5DF2AD20" w14:textId="5AECD11D" w:rsidR="00BE62AD" w:rsidRDefault="00CF017E">
      <w:pPr>
        <w:pStyle w:val="Heading1"/>
        <w:spacing w:before="232"/>
        <w:ind w:left="1804" w:right="2019"/>
        <w:jc w:val="center"/>
      </w:pPr>
      <w:r>
        <w:t>Tarifário 2020</w:t>
      </w:r>
    </w:p>
    <w:p w14:paraId="41E8879B" w14:textId="77777777" w:rsidR="00BE62AD" w:rsidRDefault="00BE62AD">
      <w:pPr>
        <w:pStyle w:val="BodyText"/>
        <w:rPr>
          <w:b/>
        </w:rPr>
      </w:pPr>
    </w:p>
    <w:p w14:paraId="10A71D21" w14:textId="77777777" w:rsidR="00BE62AD" w:rsidRDefault="00BE62AD">
      <w:pPr>
        <w:pStyle w:val="BodyText"/>
        <w:rPr>
          <w:b/>
        </w:rPr>
      </w:pPr>
    </w:p>
    <w:p w14:paraId="761529F7" w14:textId="77777777" w:rsidR="00BE62AD" w:rsidRDefault="00CF017E" w:rsidP="00CF017E">
      <w:pPr>
        <w:pStyle w:val="BodyText"/>
        <w:spacing w:before="169"/>
        <w:ind w:left="222" w:right="1076"/>
        <w:jc w:val="both"/>
      </w:pPr>
      <w:r>
        <w:t>As tarifas a praticar aos clientes bem como as condições de aplicação no fornecime</w:t>
      </w:r>
      <w:bookmarkStart w:id="0" w:name="_GoBack"/>
      <w:bookmarkEnd w:id="0"/>
      <w:r>
        <w:t>nto de água por cais são as seguintes:</w:t>
      </w:r>
    </w:p>
    <w:p w14:paraId="24F7E4AA" w14:textId="77777777" w:rsidR="00BE62AD" w:rsidRDefault="00BE62AD">
      <w:pPr>
        <w:pStyle w:val="BodyText"/>
        <w:spacing w:before="10"/>
      </w:pPr>
    </w:p>
    <w:p w14:paraId="550C1204" w14:textId="77777777" w:rsidR="00BE62AD" w:rsidRDefault="00CF017E">
      <w:pPr>
        <w:pStyle w:val="ListParagraph"/>
        <w:numPr>
          <w:ilvl w:val="0"/>
          <w:numId w:val="2"/>
        </w:numPr>
        <w:tabs>
          <w:tab w:val="left" w:pos="443"/>
        </w:tabs>
      </w:pPr>
      <w:r>
        <w:rPr>
          <w:b/>
        </w:rPr>
        <w:t xml:space="preserve">Período normal </w:t>
      </w:r>
      <w:r>
        <w:t>(2ª a 6ª feira das 08h00 às</w:t>
      </w:r>
      <w:r>
        <w:rPr>
          <w:spacing w:val="-10"/>
        </w:rPr>
        <w:t xml:space="preserve"> </w:t>
      </w:r>
      <w:r>
        <w:t>17h00)</w:t>
      </w:r>
    </w:p>
    <w:p w14:paraId="4B1C0F80" w14:textId="77777777" w:rsidR="00BE62AD" w:rsidRDefault="00BE62AD">
      <w:pPr>
        <w:pStyle w:val="BodyText"/>
        <w:rPr>
          <w:sz w:val="20"/>
        </w:rPr>
      </w:pPr>
    </w:p>
    <w:p w14:paraId="0E8B787F" w14:textId="77777777" w:rsidR="00BE62AD" w:rsidRDefault="00BE62AD">
      <w:pPr>
        <w:pStyle w:val="BodyText"/>
        <w:spacing w:before="3"/>
        <w:rPr>
          <w:sz w:val="28"/>
        </w:rPr>
      </w:pPr>
    </w:p>
    <w:tbl>
      <w:tblPr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1570"/>
        <w:gridCol w:w="2179"/>
        <w:gridCol w:w="2182"/>
      </w:tblGrid>
      <w:tr w:rsidR="00BE62AD" w14:paraId="0EC73DE0" w14:textId="77777777">
        <w:trPr>
          <w:trHeight w:val="537"/>
        </w:trPr>
        <w:tc>
          <w:tcPr>
            <w:tcW w:w="2179" w:type="dxa"/>
          </w:tcPr>
          <w:p w14:paraId="179A4F32" w14:textId="77777777" w:rsidR="00BE62AD" w:rsidRDefault="00BE62AD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570" w:type="dxa"/>
          </w:tcPr>
          <w:p w14:paraId="15DCE757" w14:textId="77777777" w:rsidR="00BE62AD" w:rsidRDefault="00CF017E">
            <w:pPr>
              <w:pStyle w:val="TableParagraph"/>
              <w:spacing w:line="265" w:lineRule="exact"/>
              <w:ind w:left="142" w:right="136"/>
              <w:rPr>
                <w:b/>
              </w:rPr>
            </w:pPr>
            <w:r>
              <w:rPr>
                <w:b/>
              </w:rPr>
              <w:t>Taxa de</w:t>
            </w:r>
          </w:p>
          <w:p w14:paraId="56A3B498" w14:textId="77777777" w:rsidR="00BE62AD" w:rsidRDefault="00CF017E">
            <w:pPr>
              <w:pStyle w:val="TableParagraph"/>
              <w:spacing w:line="252" w:lineRule="exact"/>
              <w:ind w:left="144" w:right="136"/>
              <w:rPr>
                <w:b/>
              </w:rPr>
            </w:pPr>
            <w:r>
              <w:rPr>
                <w:b/>
              </w:rPr>
              <w:t>fornecimento</w:t>
            </w:r>
          </w:p>
        </w:tc>
        <w:tc>
          <w:tcPr>
            <w:tcW w:w="2179" w:type="dxa"/>
          </w:tcPr>
          <w:p w14:paraId="615409B4" w14:textId="77777777" w:rsidR="00BE62AD" w:rsidRDefault="00CF017E">
            <w:pPr>
              <w:pStyle w:val="TableParagraph"/>
              <w:spacing w:before="131" w:line="240" w:lineRule="auto"/>
              <w:ind w:left="263" w:right="257"/>
              <w:rPr>
                <w:b/>
              </w:rPr>
            </w:pPr>
            <w:r>
              <w:rPr>
                <w:b/>
              </w:rPr>
              <w:t>Taxa de operação</w:t>
            </w:r>
          </w:p>
        </w:tc>
        <w:tc>
          <w:tcPr>
            <w:tcW w:w="2182" w:type="dxa"/>
          </w:tcPr>
          <w:p w14:paraId="70051A1A" w14:textId="77777777" w:rsidR="00BE62AD" w:rsidRDefault="00CF017E">
            <w:pPr>
              <w:pStyle w:val="TableParagraph"/>
              <w:spacing w:before="131" w:line="240" w:lineRule="auto"/>
              <w:ind w:left="501" w:right="495"/>
              <w:rPr>
                <w:b/>
              </w:rPr>
            </w:pPr>
            <w:r>
              <w:rPr>
                <w:b/>
              </w:rPr>
              <w:t>Mínimo</w:t>
            </w:r>
          </w:p>
        </w:tc>
      </w:tr>
      <w:tr w:rsidR="00BE62AD" w14:paraId="6650F13C" w14:textId="77777777">
        <w:trPr>
          <w:trHeight w:val="266"/>
        </w:trPr>
        <w:tc>
          <w:tcPr>
            <w:tcW w:w="2179" w:type="dxa"/>
          </w:tcPr>
          <w:p w14:paraId="0C9D798B" w14:textId="77777777" w:rsidR="00BE62AD" w:rsidRDefault="00CF017E">
            <w:pPr>
              <w:pStyle w:val="TableParagraph"/>
              <w:spacing w:line="246" w:lineRule="exact"/>
              <w:ind w:left="676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≤ 50 tons</w:t>
            </w:r>
          </w:p>
        </w:tc>
        <w:tc>
          <w:tcPr>
            <w:tcW w:w="1570" w:type="dxa"/>
          </w:tcPr>
          <w:p w14:paraId="104C81B2" w14:textId="77777777" w:rsidR="00BE62AD" w:rsidRDefault="00CF017E">
            <w:pPr>
              <w:pStyle w:val="TableParagraph"/>
              <w:spacing w:line="246" w:lineRule="exact"/>
              <w:ind w:left="144" w:right="13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5,37 €/</w:t>
            </w:r>
            <w:proofErr w:type="spellStart"/>
            <w:r>
              <w:rPr>
                <w:rFonts w:ascii="Trebuchet MS" w:hAnsi="Trebuchet MS"/>
              </w:rPr>
              <w:t>ton</w:t>
            </w:r>
            <w:proofErr w:type="spellEnd"/>
          </w:p>
        </w:tc>
        <w:tc>
          <w:tcPr>
            <w:tcW w:w="2179" w:type="dxa"/>
          </w:tcPr>
          <w:p w14:paraId="621845FB" w14:textId="77777777" w:rsidR="00BE62AD" w:rsidRDefault="00CF017E">
            <w:pPr>
              <w:pStyle w:val="TableParagraph"/>
              <w:spacing w:line="246" w:lineRule="exact"/>
              <w:ind w:left="263" w:right="2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21,65 €</w:t>
            </w:r>
          </w:p>
        </w:tc>
        <w:tc>
          <w:tcPr>
            <w:tcW w:w="2182" w:type="dxa"/>
          </w:tcPr>
          <w:p w14:paraId="5841907D" w14:textId="77777777" w:rsidR="00BE62AD" w:rsidRDefault="00CF017E">
            <w:pPr>
              <w:pStyle w:val="TableParagraph"/>
              <w:spacing w:line="246" w:lineRule="exact"/>
              <w:ind w:left="501" w:right="498"/>
            </w:pPr>
            <w:r>
              <w:t>50 tons</w:t>
            </w:r>
          </w:p>
        </w:tc>
      </w:tr>
      <w:tr w:rsidR="00BE62AD" w14:paraId="50050249" w14:textId="77777777">
        <w:trPr>
          <w:trHeight w:val="268"/>
        </w:trPr>
        <w:tc>
          <w:tcPr>
            <w:tcW w:w="2179" w:type="dxa"/>
          </w:tcPr>
          <w:p w14:paraId="4A43853B" w14:textId="77777777" w:rsidR="00BE62AD" w:rsidRDefault="00CF017E">
            <w:pPr>
              <w:pStyle w:val="TableParagraph"/>
              <w:ind w:right="480"/>
              <w:jc w:val="right"/>
            </w:pPr>
            <w:r>
              <w:t>51 a 100 tons</w:t>
            </w:r>
          </w:p>
        </w:tc>
        <w:tc>
          <w:tcPr>
            <w:tcW w:w="1570" w:type="dxa"/>
          </w:tcPr>
          <w:p w14:paraId="1B5AFAA2" w14:textId="77777777" w:rsidR="00BE62AD" w:rsidRDefault="00CF017E">
            <w:pPr>
              <w:pStyle w:val="TableParagraph"/>
              <w:spacing w:before="2" w:line="246" w:lineRule="exact"/>
              <w:ind w:left="144" w:right="13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5,37 €/</w:t>
            </w:r>
            <w:proofErr w:type="spellStart"/>
            <w:r>
              <w:rPr>
                <w:rFonts w:ascii="Trebuchet MS" w:hAnsi="Trebuchet MS"/>
              </w:rPr>
              <w:t>ton</w:t>
            </w:r>
            <w:proofErr w:type="spellEnd"/>
          </w:p>
        </w:tc>
        <w:tc>
          <w:tcPr>
            <w:tcW w:w="2179" w:type="dxa"/>
          </w:tcPr>
          <w:p w14:paraId="0C4DD64C" w14:textId="77777777" w:rsidR="00BE62AD" w:rsidRDefault="00CF017E">
            <w:pPr>
              <w:pStyle w:val="TableParagraph"/>
              <w:spacing w:before="2" w:line="246" w:lineRule="exact"/>
              <w:ind w:left="263" w:right="2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31,14 €</w:t>
            </w:r>
          </w:p>
        </w:tc>
        <w:tc>
          <w:tcPr>
            <w:tcW w:w="2182" w:type="dxa"/>
          </w:tcPr>
          <w:p w14:paraId="2122D2FD" w14:textId="77777777" w:rsidR="00BE62AD" w:rsidRDefault="00CF017E">
            <w:pPr>
              <w:pStyle w:val="TableParagraph"/>
              <w:ind w:left="501" w:right="498"/>
            </w:pPr>
            <w:r>
              <w:t>50 tons</w:t>
            </w:r>
          </w:p>
        </w:tc>
      </w:tr>
      <w:tr w:rsidR="00BE62AD" w14:paraId="7B8792F0" w14:textId="77777777">
        <w:trPr>
          <w:trHeight w:val="268"/>
        </w:trPr>
        <w:tc>
          <w:tcPr>
            <w:tcW w:w="2179" w:type="dxa"/>
          </w:tcPr>
          <w:p w14:paraId="6B358435" w14:textId="77777777" w:rsidR="00BE62AD" w:rsidRDefault="00CF017E">
            <w:pPr>
              <w:pStyle w:val="TableParagraph"/>
              <w:ind w:right="423"/>
              <w:jc w:val="right"/>
            </w:pPr>
            <w:r>
              <w:t>101 a 200 tons</w:t>
            </w:r>
          </w:p>
        </w:tc>
        <w:tc>
          <w:tcPr>
            <w:tcW w:w="1570" w:type="dxa"/>
          </w:tcPr>
          <w:p w14:paraId="7F1DCF59" w14:textId="77777777" w:rsidR="00BE62AD" w:rsidRDefault="00CF017E">
            <w:pPr>
              <w:pStyle w:val="TableParagraph"/>
              <w:spacing w:before="2" w:line="246" w:lineRule="exact"/>
              <w:ind w:left="144" w:right="13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5,37 €/</w:t>
            </w:r>
            <w:proofErr w:type="spellStart"/>
            <w:r>
              <w:rPr>
                <w:rFonts w:ascii="Trebuchet MS" w:hAnsi="Trebuchet MS"/>
              </w:rPr>
              <w:t>ton</w:t>
            </w:r>
            <w:proofErr w:type="spellEnd"/>
          </w:p>
        </w:tc>
        <w:tc>
          <w:tcPr>
            <w:tcW w:w="2179" w:type="dxa"/>
          </w:tcPr>
          <w:p w14:paraId="35A89154" w14:textId="77777777" w:rsidR="00BE62AD" w:rsidRDefault="00CF017E">
            <w:pPr>
              <w:pStyle w:val="TableParagraph"/>
              <w:spacing w:before="2" w:line="246" w:lineRule="exact"/>
              <w:ind w:left="263" w:right="2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64,75 €</w:t>
            </w:r>
          </w:p>
        </w:tc>
        <w:tc>
          <w:tcPr>
            <w:tcW w:w="2182" w:type="dxa"/>
          </w:tcPr>
          <w:p w14:paraId="1EDC1112" w14:textId="77777777" w:rsidR="00BE62AD" w:rsidRDefault="00CF017E">
            <w:pPr>
              <w:pStyle w:val="TableParagraph"/>
              <w:ind w:left="501" w:right="498"/>
            </w:pPr>
            <w:r>
              <w:t>50 tons</w:t>
            </w:r>
          </w:p>
        </w:tc>
      </w:tr>
      <w:tr w:rsidR="00BE62AD" w14:paraId="75740D00" w14:textId="77777777">
        <w:trPr>
          <w:trHeight w:val="268"/>
        </w:trPr>
        <w:tc>
          <w:tcPr>
            <w:tcW w:w="2179" w:type="dxa"/>
          </w:tcPr>
          <w:p w14:paraId="1B1CF242" w14:textId="77777777" w:rsidR="00BE62AD" w:rsidRDefault="00CF017E">
            <w:pPr>
              <w:pStyle w:val="TableParagraph"/>
              <w:ind w:right="465"/>
              <w:jc w:val="right"/>
            </w:pPr>
            <w:r>
              <w:t xml:space="preserve">201 a 300 </w:t>
            </w:r>
            <w:proofErr w:type="spellStart"/>
            <w:r>
              <w:t>ton</w:t>
            </w:r>
            <w:proofErr w:type="spellEnd"/>
          </w:p>
        </w:tc>
        <w:tc>
          <w:tcPr>
            <w:tcW w:w="1570" w:type="dxa"/>
          </w:tcPr>
          <w:p w14:paraId="40868533" w14:textId="77777777" w:rsidR="00BE62AD" w:rsidRDefault="00CF017E">
            <w:pPr>
              <w:pStyle w:val="TableParagraph"/>
              <w:spacing w:before="2" w:line="246" w:lineRule="exact"/>
              <w:ind w:left="144" w:right="13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5,37 €/</w:t>
            </w:r>
            <w:proofErr w:type="spellStart"/>
            <w:r>
              <w:rPr>
                <w:rFonts w:ascii="Trebuchet MS" w:hAnsi="Trebuchet MS"/>
              </w:rPr>
              <w:t>ton</w:t>
            </w:r>
            <w:proofErr w:type="spellEnd"/>
          </w:p>
        </w:tc>
        <w:tc>
          <w:tcPr>
            <w:tcW w:w="2179" w:type="dxa"/>
          </w:tcPr>
          <w:p w14:paraId="03B0CA5A" w14:textId="77777777" w:rsidR="00BE62AD" w:rsidRDefault="00CF017E">
            <w:pPr>
              <w:pStyle w:val="TableParagraph"/>
              <w:spacing w:before="2" w:line="246" w:lineRule="exact"/>
              <w:ind w:left="263" w:right="2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77,39 €</w:t>
            </w:r>
          </w:p>
        </w:tc>
        <w:tc>
          <w:tcPr>
            <w:tcW w:w="2182" w:type="dxa"/>
          </w:tcPr>
          <w:p w14:paraId="304F837D" w14:textId="77777777" w:rsidR="00BE62AD" w:rsidRDefault="00CF017E">
            <w:pPr>
              <w:pStyle w:val="TableParagraph"/>
              <w:ind w:left="501" w:right="498"/>
            </w:pPr>
            <w:r>
              <w:t>50 tons</w:t>
            </w:r>
          </w:p>
        </w:tc>
      </w:tr>
      <w:tr w:rsidR="00BE62AD" w14:paraId="54C927B7" w14:textId="77777777">
        <w:trPr>
          <w:trHeight w:val="268"/>
        </w:trPr>
        <w:tc>
          <w:tcPr>
            <w:tcW w:w="2179" w:type="dxa"/>
          </w:tcPr>
          <w:p w14:paraId="0023BADB" w14:textId="77777777" w:rsidR="00BE62AD" w:rsidRDefault="00CF017E">
            <w:pPr>
              <w:pStyle w:val="TableParagraph"/>
              <w:ind w:left="621"/>
              <w:jc w:val="left"/>
            </w:pPr>
            <w:r>
              <w:t>&gt; 300 tons</w:t>
            </w:r>
          </w:p>
        </w:tc>
        <w:tc>
          <w:tcPr>
            <w:tcW w:w="1570" w:type="dxa"/>
          </w:tcPr>
          <w:p w14:paraId="75C40ECA" w14:textId="77777777" w:rsidR="00BE62AD" w:rsidRDefault="00CF017E">
            <w:pPr>
              <w:pStyle w:val="TableParagraph"/>
              <w:spacing w:before="2" w:line="246" w:lineRule="exact"/>
              <w:ind w:left="144" w:right="13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5,37 €/</w:t>
            </w:r>
            <w:proofErr w:type="spellStart"/>
            <w:r>
              <w:rPr>
                <w:rFonts w:ascii="Trebuchet MS" w:hAnsi="Trebuchet MS"/>
              </w:rPr>
              <w:t>ton</w:t>
            </w:r>
            <w:proofErr w:type="spellEnd"/>
          </w:p>
        </w:tc>
        <w:tc>
          <w:tcPr>
            <w:tcW w:w="2179" w:type="dxa"/>
          </w:tcPr>
          <w:p w14:paraId="7D78542A" w14:textId="77777777" w:rsidR="00BE62AD" w:rsidRDefault="00CF017E">
            <w:pPr>
              <w:pStyle w:val="TableParagraph"/>
              <w:spacing w:before="2" w:line="246" w:lineRule="exact"/>
              <w:ind w:left="263" w:right="2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103,85 €</w:t>
            </w:r>
          </w:p>
        </w:tc>
        <w:tc>
          <w:tcPr>
            <w:tcW w:w="2182" w:type="dxa"/>
          </w:tcPr>
          <w:p w14:paraId="0C41D65B" w14:textId="77777777" w:rsidR="00BE62AD" w:rsidRDefault="00CF017E">
            <w:pPr>
              <w:pStyle w:val="TableParagraph"/>
              <w:ind w:left="501" w:right="498"/>
            </w:pPr>
            <w:r>
              <w:t>50 tons</w:t>
            </w:r>
          </w:p>
        </w:tc>
      </w:tr>
    </w:tbl>
    <w:p w14:paraId="44057C56" w14:textId="77777777" w:rsidR="00BE62AD" w:rsidRDefault="00BE62AD">
      <w:pPr>
        <w:pStyle w:val="BodyText"/>
        <w:rPr>
          <w:sz w:val="20"/>
        </w:rPr>
      </w:pPr>
    </w:p>
    <w:p w14:paraId="217FB574" w14:textId="77777777" w:rsidR="00BE62AD" w:rsidRDefault="00BE62AD">
      <w:pPr>
        <w:pStyle w:val="BodyText"/>
        <w:spacing w:before="1"/>
        <w:rPr>
          <w:sz w:val="23"/>
        </w:rPr>
      </w:pPr>
    </w:p>
    <w:p w14:paraId="3B60DE2F" w14:textId="77777777" w:rsidR="00BE62AD" w:rsidRDefault="00CF017E">
      <w:pPr>
        <w:pStyle w:val="Heading1"/>
        <w:numPr>
          <w:ilvl w:val="0"/>
          <w:numId w:val="2"/>
        </w:numPr>
        <w:tabs>
          <w:tab w:val="left" w:pos="443"/>
        </w:tabs>
      </w:pPr>
      <w:r>
        <w:t>Taxa de Operação para os restantes</w:t>
      </w:r>
      <w:r>
        <w:rPr>
          <w:spacing w:val="-10"/>
        </w:rPr>
        <w:t xml:space="preserve"> </w:t>
      </w:r>
      <w:r>
        <w:t>períodos</w:t>
      </w:r>
    </w:p>
    <w:p w14:paraId="0E389003" w14:textId="77777777" w:rsidR="00BE62AD" w:rsidRDefault="00BE62AD">
      <w:pPr>
        <w:pStyle w:val="BodyText"/>
        <w:rPr>
          <w:b/>
          <w:sz w:val="20"/>
        </w:rPr>
      </w:pPr>
    </w:p>
    <w:p w14:paraId="2AF97BE3" w14:textId="77777777" w:rsidR="00BE62AD" w:rsidRDefault="00BE62AD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2182"/>
        <w:gridCol w:w="2179"/>
        <w:gridCol w:w="2179"/>
      </w:tblGrid>
      <w:tr w:rsidR="00BE62AD" w14:paraId="569BC2DF" w14:textId="77777777">
        <w:trPr>
          <w:trHeight w:val="537"/>
        </w:trPr>
        <w:tc>
          <w:tcPr>
            <w:tcW w:w="2179" w:type="dxa"/>
          </w:tcPr>
          <w:p w14:paraId="4012812A" w14:textId="77777777" w:rsidR="00BE62AD" w:rsidRDefault="00BE62AD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82" w:type="dxa"/>
          </w:tcPr>
          <w:p w14:paraId="20F20FF6" w14:textId="77777777" w:rsidR="00BE62AD" w:rsidRDefault="00CF017E">
            <w:pPr>
              <w:pStyle w:val="TableParagraph"/>
              <w:spacing w:line="265" w:lineRule="exact"/>
              <w:ind w:left="498" w:right="498"/>
              <w:rPr>
                <w:b/>
              </w:rPr>
            </w:pPr>
            <w:r>
              <w:rPr>
                <w:b/>
              </w:rPr>
              <w:t>Períodos</w:t>
            </w:r>
          </w:p>
          <w:p w14:paraId="015B12D5" w14:textId="77777777" w:rsidR="00BE62AD" w:rsidRDefault="00CF017E">
            <w:pPr>
              <w:pStyle w:val="TableParagraph"/>
              <w:spacing w:line="252" w:lineRule="exact"/>
              <w:ind w:left="501" w:right="498"/>
              <w:rPr>
                <w:b/>
              </w:rPr>
            </w:pPr>
            <w:r>
              <w:rPr>
                <w:b/>
              </w:rPr>
              <w:t>(indivisíveis)</w:t>
            </w:r>
          </w:p>
        </w:tc>
        <w:tc>
          <w:tcPr>
            <w:tcW w:w="2179" w:type="dxa"/>
          </w:tcPr>
          <w:p w14:paraId="1DEE2D47" w14:textId="77777777" w:rsidR="00BE62AD" w:rsidRDefault="00CF017E">
            <w:pPr>
              <w:pStyle w:val="TableParagraph"/>
              <w:spacing w:before="131" w:line="240" w:lineRule="auto"/>
              <w:ind w:left="260" w:right="259"/>
              <w:rPr>
                <w:b/>
              </w:rPr>
            </w:pPr>
            <w:r>
              <w:rPr>
                <w:b/>
              </w:rPr>
              <w:t>Taxa de operação</w:t>
            </w:r>
          </w:p>
        </w:tc>
        <w:tc>
          <w:tcPr>
            <w:tcW w:w="2179" w:type="dxa"/>
          </w:tcPr>
          <w:p w14:paraId="554BC39A" w14:textId="77777777" w:rsidR="00BE62AD" w:rsidRDefault="00CF017E">
            <w:pPr>
              <w:pStyle w:val="TableParagraph"/>
              <w:spacing w:before="131" w:line="240" w:lineRule="auto"/>
              <w:ind w:left="732"/>
              <w:jc w:val="left"/>
              <w:rPr>
                <w:b/>
              </w:rPr>
            </w:pPr>
            <w:r>
              <w:rPr>
                <w:b/>
              </w:rPr>
              <w:t>Mínimo</w:t>
            </w:r>
          </w:p>
        </w:tc>
      </w:tr>
      <w:tr w:rsidR="00BE62AD" w14:paraId="32954AA2" w14:textId="77777777">
        <w:trPr>
          <w:trHeight w:val="268"/>
        </w:trPr>
        <w:tc>
          <w:tcPr>
            <w:tcW w:w="2179" w:type="dxa"/>
            <w:vMerge w:val="restart"/>
          </w:tcPr>
          <w:p w14:paraId="308FD7F4" w14:textId="77777777" w:rsidR="00BE62AD" w:rsidRDefault="00BE62AD">
            <w:pPr>
              <w:pStyle w:val="TableParagraph"/>
              <w:spacing w:before="1" w:line="240" w:lineRule="auto"/>
              <w:jc w:val="left"/>
              <w:rPr>
                <w:b/>
              </w:rPr>
            </w:pPr>
          </w:p>
          <w:p w14:paraId="195C778C" w14:textId="77777777" w:rsidR="00BE62AD" w:rsidRDefault="00CF017E">
            <w:pPr>
              <w:pStyle w:val="TableParagraph"/>
              <w:spacing w:before="1" w:line="240" w:lineRule="auto"/>
              <w:ind w:left="410"/>
              <w:jc w:val="left"/>
            </w:pPr>
            <w:r>
              <w:t>De 2ª a 6ª feira</w:t>
            </w:r>
          </w:p>
        </w:tc>
        <w:tc>
          <w:tcPr>
            <w:tcW w:w="2182" w:type="dxa"/>
          </w:tcPr>
          <w:p w14:paraId="0B62E96A" w14:textId="77777777" w:rsidR="00BE62AD" w:rsidRDefault="00CF017E">
            <w:pPr>
              <w:pStyle w:val="TableParagraph"/>
              <w:ind w:right="378"/>
              <w:jc w:val="right"/>
            </w:pPr>
            <w:r>
              <w:t>17h00 às 20h00</w:t>
            </w:r>
          </w:p>
        </w:tc>
        <w:tc>
          <w:tcPr>
            <w:tcW w:w="2179" w:type="dxa"/>
          </w:tcPr>
          <w:p w14:paraId="6CA139C8" w14:textId="77777777" w:rsidR="00BE62AD" w:rsidRDefault="00CF017E">
            <w:pPr>
              <w:pStyle w:val="TableParagraph"/>
              <w:ind w:left="261" w:right="25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116,94 €</w:t>
            </w:r>
          </w:p>
        </w:tc>
        <w:tc>
          <w:tcPr>
            <w:tcW w:w="2179" w:type="dxa"/>
          </w:tcPr>
          <w:p w14:paraId="0032A94B" w14:textId="77777777" w:rsidR="00BE62AD" w:rsidRDefault="00CF017E">
            <w:pPr>
              <w:pStyle w:val="TableParagraph"/>
              <w:ind w:left="757"/>
              <w:jc w:val="left"/>
            </w:pPr>
            <w:r>
              <w:t>50 tons</w:t>
            </w:r>
          </w:p>
        </w:tc>
      </w:tr>
      <w:tr w:rsidR="00BE62AD" w14:paraId="376BA621" w14:textId="77777777">
        <w:trPr>
          <w:trHeight w:val="268"/>
        </w:trPr>
        <w:tc>
          <w:tcPr>
            <w:tcW w:w="2179" w:type="dxa"/>
            <w:vMerge/>
            <w:tcBorders>
              <w:top w:val="nil"/>
            </w:tcBorders>
          </w:tcPr>
          <w:p w14:paraId="245CFF06" w14:textId="77777777" w:rsidR="00BE62AD" w:rsidRDefault="00BE62AD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</w:tcPr>
          <w:p w14:paraId="1EB046B3" w14:textId="77777777" w:rsidR="00BE62AD" w:rsidRDefault="00CF017E">
            <w:pPr>
              <w:pStyle w:val="TableParagraph"/>
              <w:ind w:right="378"/>
              <w:jc w:val="right"/>
            </w:pPr>
            <w:r>
              <w:t>20h00 às 24h00</w:t>
            </w:r>
          </w:p>
        </w:tc>
        <w:tc>
          <w:tcPr>
            <w:tcW w:w="2179" w:type="dxa"/>
          </w:tcPr>
          <w:p w14:paraId="6B94F95F" w14:textId="77777777" w:rsidR="00BE62AD" w:rsidRDefault="00CF017E">
            <w:pPr>
              <w:pStyle w:val="TableParagraph"/>
              <w:ind w:left="261" w:right="25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155,92 €</w:t>
            </w:r>
          </w:p>
        </w:tc>
        <w:tc>
          <w:tcPr>
            <w:tcW w:w="2179" w:type="dxa"/>
          </w:tcPr>
          <w:p w14:paraId="4D2FA221" w14:textId="77777777" w:rsidR="00BE62AD" w:rsidRDefault="00CF017E">
            <w:pPr>
              <w:pStyle w:val="TableParagraph"/>
              <w:ind w:left="757"/>
              <w:jc w:val="left"/>
            </w:pPr>
            <w:r>
              <w:t>50 tons</w:t>
            </w:r>
          </w:p>
        </w:tc>
      </w:tr>
      <w:tr w:rsidR="00BE62AD" w14:paraId="657D35E5" w14:textId="77777777">
        <w:trPr>
          <w:trHeight w:val="268"/>
        </w:trPr>
        <w:tc>
          <w:tcPr>
            <w:tcW w:w="2179" w:type="dxa"/>
            <w:vMerge/>
            <w:tcBorders>
              <w:top w:val="nil"/>
            </w:tcBorders>
          </w:tcPr>
          <w:p w14:paraId="37D1072C" w14:textId="77777777" w:rsidR="00BE62AD" w:rsidRDefault="00BE62AD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</w:tcPr>
          <w:p w14:paraId="690CEBE3" w14:textId="77777777" w:rsidR="00BE62AD" w:rsidRDefault="00CF017E">
            <w:pPr>
              <w:pStyle w:val="TableParagraph"/>
              <w:ind w:right="378"/>
              <w:jc w:val="right"/>
            </w:pPr>
            <w:r>
              <w:t>00h00 às 08h00</w:t>
            </w:r>
          </w:p>
        </w:tc>
        <w:tc>
          <w:tcPr>
            <w:tcW w:w="2179" w:type="dxa"/>
          </w:tcPr>
          <w:p w14:paraId="2FC2598E" w14:textId="77777777" w:rsidR="00BE62AD" w:rsidRDefault="00CF017E">
            <w:pPr>
              <w:pStyle w:val="TableParagraph"/>
              <w:ind w:left="261" w:right="25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311,84 €</w:t>
            </w:r>
          </w:p>
        </w:tc>
        <w:tc>
          <w:tcPr>
            <w:tcW w:w="2179" w:type="dxa"/>
          </w:tcPr>
          <w:p w14:paraId="4DF25A40" w14:textId="77777777" w:rsidR="00BE62AD" w:rsidRDefault="00CF017E">
            <w:pPr>
              <w:pStyle w:val="TableParagraph"/>
              <w:ind w:left="757"/>
              <w:jc w:val="left"/>
            </w:pPr>
            <w:r>
              <w:t>50 tons</w:t>
            </w:r>
          </w:p>
        </w:tc>
      </w:tr>
      <w:tr w:rsidR="00BE62AD" w14:paraId="7DD98C42" w14:textId="77777777">
        <w:trPr>
          <w:trHeight w:val="268"/>
        </w:trPr>
        <w:tc>
          <w:tcPr>
            <w:tcW w:w="2179" w:type="dxa"/>
            <w:vMerge w:val="restart"/>
          </w:tcPr>
          <w:p w14:paraId="0F897A92" w14:textId="77777777" w:rsidR="00BE62AD" w:rsidRDefault="00BE62AD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282FE77E" w14:textId="77777777" w:rsidR="00BE62AD" w:rsidRDefault="00CF017E">
            <w:pPr>
              <w:pStyle w:val="TableParagraph"/>
              <w:spacing w:before="141" w:line="240" w:lineRule="auto"/>
              <w:ind w:left="724" w:right="113" w:hanging="591"/>
              <w:jc w:val="left"/>
            </w:pPr>
            <w:r>
              <w:t>Sábados, Domingos e feriados</w:t>
            </w:r>
          </w:p>
        </w:tc>
        <w:tc>
          <w:tcPr>
            <w:tcW w:w="2182" w:type="dxa"/>
          </w:tcPr>
          <w:p w14:paraId="50D085F1" w14:textId="77777777" w:rsidR="00BE62AD" w:rsidRDefault="00CF017E">
            <w:pPr>
              <w:pStyle w:val="TableParagraph"/>
              <w:ind w:right="378"/>
              <w:jc w:val="right"/>
            </w:pPr>
            <w:r>
              <w:t>08h00 às 13h00</w:t>
            </w:r>
          </w:p>
        </w:tc>
        <w:tc>
          <w:tcPr>
            <w:tcW w:w="2179" w:type="dxa"/>
          </w:tcPr>
          <w:p w14:paraId="6AAF5F17" w14:textId="77777777" w:rsidR="00BE62AD" w:rsidRDefault="00CF017E">
            <w:pPr>
              <w:pStyle w:val="TableParagraph"/>
              <w:ind w:left="261" w:right="25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234,75 €</w:t>
            </w:r>
          </w:p>
        </w:tc>
        <w:tc>
          <w:tcPr>
            <w:tcW w:w="2179" w:type="dxa"/>
          </w:tcPr>
          <w:p w14:paraId="64DFEED0" w14:textId="77777777" w:rsidR="00BE62AD" w:rsidRDefault="00CF017E">
            <w:pPr>
              <w:pStyle w:val="TableParagraph"/>
              <w:ind w:left="757"/>
              <w:jc w:val="left"/>
            </w:pPr>
            <w:r>
              <w:t>50 tons</w:t>
            </w:r>
          </w:p>
        </w:tc>
      </w:tr>
      <w:tr w:rsidR="00BE62AD" w14:paraId="4281F583" w14:textId="77777777">
        <w:trPr>
          <w:trHeight w:val="268"/>
        </w:trPr>
        <w:tc>
          <w:tcPr>
            <w:tcW w:w="2179" w:type="dxa"/>
            <w:vMerge/>
            <w:tcBorders>
              <w:top w:val="nil"/>
            </w:tcBorders>
          </w:tcPr>
          <w:p w14:paraId="1DE6B2FE" w14:textId="77777777" w:rsidR="00BE62AD" w:rsidRDefault="00BE62AD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</w:tcPr>
          <w:p w14:paraId="366D8D38" w14:textId="77777777" w:rsidR="00BE62AD" w:rsidRDefault="00CF017E">
            <w:pPr>
              <w:pStyle w:val="TableParagraph"/>
              <w:ind w:right="378"/>
              <w:jc w:val="right"/>
            </w:pPr>
            <w:r>
              <w:t>13h00 às 17h00</w:t>
            </w:r>
          </w:p>
        </w:tc>
        <w:tc>
          <w:tcPr>
            <w:tcW w:w="2179" w:type="dxa"/>
          </w:tcPr>
          <w:p w14:paraId="23CF7A1B" w14:textId="77777777" w:rsidR="00BE62AD" w:rsidRDefault="00CF017E">
            <w:pPr>
              <w:pStyle w:val="TableParagraph"/>
              <w:ind w:left="261" w:right="25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187,75 €</w:t>
            </w:r>
          </w:p>
        </w:tc>
        <w:tc>
          <w:tcPr>
            <w:tcW w:w="2179" w:type="dxa"/>
          </w:tcPr>
          <w:p w14:paraId="698C32B3" w14:textId="77777777" w:rsidR="00BE62AD" w:rsidRDefault="00CF017E">
            <w:pPr>
              <w:pStyle w:val="TableParagraph"/>
              <w:ind w:left="757"/>
              <w:jc w:val="left"/>
            </w:pPr>
            <w:r>
              <w:t>50 tons</w:t>
            </w:r>
          </w:p>
        </w:tc>
      </w:tr>
      <w:tr w:rsidR="00BE62AD" w14:paraId="5D9FCD43" w14:textId="77777777">
        <w:trPr>
          <w:trHeight w:val="268"/>
        </w:trPr>
        <w:tc>
          <w:tcPr>
            <w:tcW w:w="2179" w:type="dxa"/>
            <w:vMerge/>
            <w:tcBorders>
              <w:top w:val="nil"/>
            </w:tcBorders>
          </w:tcPr>
          <w:p w14:paraId="0EB47F6E" w14:textId="77777777" w:rsidR="00BE62AD" w:rsidRDefault="00BE62AD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</w:tcPr>
          <w:p w14:paraId="3D895476" w14:textId="77777777" w:rsidR="00BE62AD" w:rsidRDefault="00CF017E">
            <w:pPr>
              <w:pStyle w:val="TableParagraph"/>
              <w:ind w:right="378"/>
              <w:jc w:val="right"/>
            </w:pPr>
            <w:r>
              <w:t>17h00 às 20h00</w:t>
            </w:r>
          </w:p>
        </w:tc>
        <w:tc>
          <w:tcPr>
            <w:tcW w:w="2179" w:type="dxa"/>
          </w:tcPr>
          <w:p w14:paraId="587A00DE" w14:textId="77777777" w:rsidR="00BE62AD" w:rsidRDefault="00CF017E">
            <w:pPr>
              <w:pStyle w:val="TableParagraph"/>
              <w:ind w:left="261" w:right="25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151,74 €</w:t>
            </w:r>
          </w:p>
        </w:tc>
        <w:tc>
          <w:tcPr>
            <w:tcW w:w="2179" w:type="dxa"/>
          </w:tcPr>
          <w:p w14:paraId="5B8021DC" w14:textId="77777777" w:rsidR="00BE62AD" w:rsidRDefault="00CF017E">
            <w:pPr>
              <w:pStyle w:val="TableParagraph"/>
              <w:ind w:left="757"/>
              <w:jc w:val="left"/>
            </w:pPr>
            <w:r>
              <w:t>50 tons</w:t>
            </w:r>
          </w:p>
        </w:tc>
      </w:tr>
      <w:tr w:rsidR="00BE62AD" w14:paraId="49B25967" w14:textId="77777777">
        <w:trPr>
          <w:trHeight w:val="268"/>
        </w:trPr>
        <w:tc>
          <w:tcPr>
            <w:tcW w:w="2179" w:type="dxa"/>
            <w:vMerge/>
            <w:tcBorders>
              <w:top w:val="nil"/>
            </w:tcBorders>
          </w:tcPr>
          <w:p w14:paraId="56926319" w14:textId="77777777" w:rsidR="00BE62AD" w:rsidRDefault="00BE62AD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</w:tcPr>
          <w:p w14:paraId="48F0952A" w14:textId="77777777" w:rsidR="00BE62AD" w:rsidRDefault="00CF017E">
            <w:pPr>
              <w:pStyle w:val="TableParagraph"/>
              <w:ind w:right="378"/>
              <w:jc w:val="right"/>
            </w:pPr>
            <w:r>
              <w:t>20h00 às 24h00</w:t>
            </w:r>
          </w:p>
        </w:tc>
        <w:tc>
          <w:tcPr>
            <w:tcW w:w="2179" w:type="dxa"/>
          </w:tcPr>
          <w:p w14:paraId="5097595A" w14:textId="77777777" w:rsidR="00BE62AD" w:rsidRDefault="00CF017E">
            <w:pPr>
              <w:pStyle w:val="TableParagraph"/>
              <w:ind w:left="261" w:right="25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202,32 €</w:t>
            </w:r>
          </w:p>
        </w:tc>
        <w:tc>
          <w:tcPr>
            <w:tcW w:w="2179" w:type="dxa"/>
          </w:tcPr>
          <w:p w14:paraId="594BBD84" w14:textId="77777777" w:rsidR="00BE62AD" w:rsidRDefault="00CF017E">
            <w:pPr>
              <w:pStyle w:val="TableParagraph"/>
              <w:ind w:left="757"/>
              <w:jc w:val="left"/>
            </w:pPr>
            <w:r>
              <w:t>50 tons</w:t>
            </w:r>
          </w:p>
        </w:tc>
      </w:tr>
      <w:tr w:rsidR="00BE62AD" w14:paraId="0D373DB3" w14:textId="77777777">
        <w:trPr>
          <w:trHeight w:val="269"/>
        </w:trPr>
        <w:tc>
          <w:tcPr>
            <w:tcW w:w="2179" w:type="dxa"/>
            <w:vMerge/>
            <w:tcBorders>
              <w:top w:val="nil"/>
            </w:tcBorders>
          </w:tcPr>
          <w:p w14:paraId="5A1CA633" w14:textId="77777777" w:rsidR="00BE62AD" w:rsidRDefault="00BE62AD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</w:tcPr>
          <w:p w14:paraId="1820CDF1" w14:textId="77777777" w:rsidR="00BE62AD" w:rsidRDefault="00CF017E">
            <w:pPr>
              <w:pStyle w:val="TableParagraph"/>
              <w:ind w:right="378"/>
              <w:jc w:val="right"/>
            </w:pPr>
            <w:r>
              <w:t>00h00 às 08h00</w:t>
            </w:r>
          </w:p>
        </w:tc>
        <w:tc>
          <w:tcPr>
            <w:tcW w:w="2179" w:type="dxa"/>
          </w:tcPr>
          <w:p w14:paraId="3D89611B" w14:textId="77777777" w:rsidR="00BE62AD" w:rsidRDefault="00CF017E">
            <w:pPr>
              <w:pStyle w:val="TableParagraph"/>
              <w:ind w:left="261" w:right="25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404,64 €</w:t>
            </w:r>
          </w:p>
        </w:tc>
        <w:tc>
          <w:tcPr>
            <w:tcW w:w="2179" w:type="dxa"/>
          </w:tcPr>
          <w:p w14:paraId="5A5F1862" w14:textId="77777777" w:rsidR="00BE62AD" w:rsidRDefault="00CF017E">
            <w:pPr>
              <w:pStyle w:val="TableParagraph"/>
              <w:ind w:left="757"/>
              <w:jc w:val="left"/>
            </w:pPr>
            <w:r>
              <w:t>50 tons</w:t>
            </w:r>
          </w:p>
        </w:tc>
      </w:tr>
    </w:tbl>
    <w:p w14:paraId="1B46A431" w14:textId="77777777" w:rsidR="00BE62AD" w:rsidRDefault="00BE62AD">
      <w:pPr>
        <w:pStyle w:val="BodyText"/>
        <w:rPr>
          <w:b/>
          <w:sz w:val="20"/>
        </w:rPr>
      </w:pPr>
    </w:p>
    <w:p w14:paraId="0015AD11" w14:textId="77777777" w:rsidR="00BE62AD" w:rsidRDefault="00BE62AD">
      <w:pPr>
        <w:pStyle w:val="BodyText"/>
        <w:rPr>
          <w:b/>
          <w:sz w:val="20"/>
        </w:rPr>
      </w:pPr>
    </w:p>
    <w:p w14:paraId="5A9D20AB" w14:textId="77777777" w:rsidR="00BE62AD" w:rsidRDefault="00BE62AD">
      <w:pPr>
        <w:pStyle w:val="BodyText"/>
        <w:spacing w:before="11"/>
        <w:rPr>
          <w:b/>
        </w:rPr>
      </w:pPr>
    </w:p>
    <w:p w14:paraId="58FB2281" w14:textId="77777777" w:rsidR="00BE62AD" w:rsidRDefault="00CF017E">
      <w:pPr>
        <w:spacing w:before="57"/>
        <w:ind w:left="222"/>
        <w:rPr>
          <w:b/>
        </w:rPr>
      </w:pPr>
      <w:r>
        <w:rPr>
          <w:b/>
        </w:rPr>
        <w:t>OBSERVAÇÕES:</w:t>
      </w:r>
    </w:p>
    <w:p w14:paraId="356782EF" w14:textId="77777777" w:rsidR="00BE62AD" w:rsidRDefault="00CF017E">
      <w:pPr>
        <w:pStyle w:val="ListParagraph"/>
        <w:numPr>
          <w:ilvl w:val="0"/>
          <w:numId w:val="1"/>
        </w:numPr>
        <w:tabs>
          <w:tab w:val="left" w:pos="453"/>
        </w:tabs>
        <w:jc w:val="both"/>
      </w:pPr>
      <w:r>
        <w:t>Dias úteis - A operação é devida a partir do momento da</w:t>
      </w:r>
      <w:r>
        <w:rPr>
          <w:spacing w:val="-11"/>
        </w:rPr>
        <w:t xml:space="preserve"> </w:t>
      </w:r>
      <w:r>
        <w:t>ligação.</w:t>
      </w:r>
    </w:p>
    <w:p w14:paraId="5F16DD05" w14:textId="77777777" w:rsidR="00BE62AD" w:rsidRDefault="00BE62AD">
      <w:pPr>
        <w:pStyle w:val="BodyText"/>
        <w:rPr>
          <w:sz w:val="23"/>
        </w:rPr>
      </w:pPr>
    </w:p>
    <w:p w14:paraId="0B29ECA0" w14:textId="77777777" w:rsidR="00BE62AD" w:rsidRDefault="00CF017E">
      <w:pPr>
        <w:pStyle w:val="ListParagraph"/>
        <w:numPr>
          <w:ilvl w:val="0"/>
          <w:numId w:val="1"/>
        </w:numPr>
        <w:tabs>
          <w:tab w:val="left" w:pos="482"/>
        </w:tabs>
        <w:ind w:left="222" w:right="217" w:firstLine="0"/>
        <w:jc w:val="both"/>
      </w:pPr>
      <w:r>
        <w:rPr>
          <w:w w:val="105"/>
        </w:rPr>
        <w:t xml:space="preserve">Sábados, Domingos, feriados e dias úteis em </w:t>
      </w:r>
      <w:proofErr w:type="spellStart"/>
      <w:r>
        <w:rPr>
          <w:i/>
          <w:w w:val="105"/>
        </w:rPr>
        <w:t>overtime</w:t>
      </w:r>
      <w:proofErr w:type="spellEnd"/>
      <w:r>
        <w:rPr>
          <w:i/>
          <w:w w:val="105"/>
        </w:rPr>
        <w:t xml:space="preserve"> </w:t>
      </w:r>
      <w:r>
        <w:rPr>
          <w:rFonts w:ascii="Trebuchet MS" w:hAnsi="Trebuchet MS"/>
          <w:w w:val="105"/>
        </w:rPr>
        <w:t xml:space="preserve">– </w:t>
      </w:r>
      <w:r>
        <w:rPr>
          <w:w w:val="105"/>
        </w:rPr>
        <w:t>desde que seja efetuado</w:t>
      </w:r>
      <w:r>
        <w:rPr>
          <w:spacing w:val="-37"/>
          <w:w w:val="105"/>
        </w:rPr>
        <w:t xml:space="preserve"> </w:t>
      </w:r>
      <w:r>
        <w:rPr>
          <w:w w:val="105"/>
        </w:rPr>
        <w:t>pedido prévio,</w:t>
      </w:r>
      <w:r>
        <w:rPr>
          <w:spacing w:val="-31"/>
          <w:w w:val="105"/>
        </w:rPr>
        <w:t xml:space="preserve"> </w:t>
      </w:r>
      <w:r>
        <w:rPr>
          <w:w w:val="105"/>
        </w:rPr>
        <w:t>de</w:t>
      </w:r>
      <w:r>
        <w:rPr>
          <w:spacing w:val="-30"/>
          <w:w w:val="105"/>
        </w:rPr>
        <w:t xml:space="preserve"> </w:t>
      </w:r>
      <w:r>
        <w:rPr>
          <w:w w:val="105"/>
        </w:rPr>
        <w:t>abastecimento</w:t>
      </w:r>
      <w:r>
        <w:rPr>
          <w:spacing w:val="-30"/>
          <w:w w:val="105"/>
        </w:rPr>
        <w:t xml:space="preserve"> </w:t>
      </w:r>
      <w:r>
        <w:rPr>
          <w:w w:val="105"/>
        </w:rPr>
        <w:t>ao</w:t>
      </w:r>
      <w:r>
        <w:rPr>
          <w:spacing w:val="-30"/>
          <w:w w:val="105"/>
        </w:rPr>
        <w:t xml:space="preserve"> </w:t>
      </w:r>
      <w:r>
        <w:rPr>
          <w:w w:val="105"/>
        </w:rPr>
        <w:t>navio,</w:t>
      </w:r>
      <w:r>
        <w:rPr>
          <w:spacing w:val="-31"/>
          <w:w w:val="105"/>
        </w:rPr>
        <w:t xml:space="preserve"> </w:t>
      </w:r>
      <w:r>
        <w:rPr>
          <w:w w:val="105"/>
        </w:rPr>
        <w:t>a</w:t>
      </w:r>
      <w:r>
        <w:rPr>
          <w:spacing w:val="-30"/>
          <w:w w:val="105"/>
        </w:rPr>
        <w:t xml:space="preserve"> </w:t>
      </w:r>
      <w:r>
        <w:rPr>
          <w:w w:val="105"/>
        </w:rPr>
        <w:t>taxa</w:t>
      </w:r>
      <w:r>
        <w:rPr>
          <w:spacing w:val="-31"/>
          <w:w w:val="105"/>
        </w:rPr>
        <w:t xml:space="preserve"> </w:t>
      </w:r>
      <w:r>
        <w:rPr>
          <w:w w:val="105"/>
        </w:rPr>
        <w:t>de</w:t>
      </w:r>
      <w:r>
        <w:rPr>
          <w:spacing w:val="-31"/>
          <w:w w:val="105"/>
        </w:rPr>
        <w:t xml:space="preserve"> </w:t>
      </w:r>
      <w:r>
        <w:rPr>
          <w:w w:val="105"/>
        </w:rPr>
        <w:t>operação</w:t>
      </w:r>
      <w:r>
        <w:rPr>
          <w:spacing w:val="-30"/>
          <w:w w:val="105"/>
        </w:rPr>
        <w:t xml:space="preserve"> </w:t>
      </w:r>
      <w:r>
        <w:rPr>
          <w:w w:val="105"/>
        </w:rPr>
        <w:t>será</w:t>
      </w:r>
      <w:r>
        <w:rPr>
          <w:spacing w:val="-30"/>
          <w:w w:val="105"/>
        </w:rPr>
        <w:t xml:space="preserve"> </w:t>
      </w:r>
      <w:r>
        <w:rPr>
          <w:w w:val="105"/>
        </w:rPr>
        <w:t>devida</w:t>
      </w:r>
      <w:r>
        <w:rPr>
          <w:spacing w:val="-32"/>
          <w:w w:val="105"/>
        </w:rPr>
        <w:t xml:space="preserve"> </w:t>
      </w:r>
      <w:r>
        <w:rPr>
          <w:w w:val="105"/>
        </w:rPr>
        <w:t>mesmo</w:t>
      </w:r>
      <w:r>
        <w:rPr>
          <w:spacing w:val="-30"/>
          <w:w w:val="105"/>
        </w:rPr>
        <w:t xml:space="preserve"> </w:t>
      </w:r>
      <w:r>
        <w:rPr>
          <w:w w:val="105"/>
        </w:rPr>
        <w:t>que</w:t>
      </w:r>
      <w:r>
        <w:rPr>
          <w:spacing w:val="-31"/>
          <w:w w:val="105"/>
        </w:rPr>
        <w:t xml:space="preserve"> </w:t>
      </w:r>
      <w:r>
        <w:rPr>
          <w:w w:val="105"/>
        </w:rPr>
        <w:t>o</w:t>
      </w:r>
      <w:r>
        <w:rPr>
          <w:spacing w:val="-30"/>
          <w:w w:val="105"/>
        </w:rPr>
        <w:t xml:space="preserve"> </w:t>
      </w:r>
      <w:r>
        <w:rPr>
          <w:w w:val="105"/>
        </w:rPr>
        <w:t>fornecimento de água não se concretize, salvo se o serviço for cancelado até às 17:00, do di</w:t>
      </w:r>
      <w:r>
        <w:rPr>
          <w:w w:val="105"/>
        </w:rPr>
        <w:t>a útil imediatamente</w:t>
      </w:r>
      <w:r>
        <w:rPr>
          <w:spacing w:val="-3"/>
          <w:w w:val="105"/>
        </w:rPr>
        <w:t xml:space="preserve"> </w:t>
      </w:r>
      <w:r>
        <w:rPr>
          <w:w w:val="105"/>
        </w:rPr>
        <w:t>anterior.</w:t>
      </w:r>
    </w:p>
    <w:p w14:paraId="62676780" w14:textId="77777777" w:rsidR="00BE62AD" w:rsidRDefault="00BE62AD">
      <w:pPr>
        <w:pStyle w:val="BodyText"/>
        <w:spacing w:before="11"/>
      </w:pPr>
    </w:p>
    <w:p w14:paraId="33FA8E3D" w14:textId="77777777" w:rsidR="00BE62AD" w:rsidRDefault="00CF017E">
      <w:pPr>
        <w:pStyle w:val="ListParagraph"/>
        <w:numPr>
          <w:ilvl w:val="0"/>
          <w:numId w:val="1"/>
        </w:numPr>
        <w:tabs>
          <w:tab w:val="left" w:pos="455"/>
        </w:tabs>
        <w:spacing w:before="1" w:line="278" w:lineRule="auto"/>
        <w:ind w:left="222" w:right="744" w:firstLine="0"/>
        <w:rPr>
          <w:b/>
        </w:rPr>
      </w:pPr>
      <w:r>
        <w:t xml:space="preserve">As tarifas apresentadas poderão ser atualizadas à taxa correspondente do aumento do custo efetivo de fornecimento de água pela </w:t>
      </w:r>
      <w:proofErr w:type="spellStart"/>
      <w:r>
        <w:rPr>
          <w:b/>
        </w:rPr>
        <w:t>Luságua</w:t>
      </w:r>
      <w:proofErr w:type="spellEnd"/>
      <w:r>
        <w:rPr>
          <w:b/>
        </w:rPr>
        <w:t xml:space="preserve"> Serviços Ambientais</w:t>
      </w:r>
      <w:r>
        <w:rPr>
          <w:b/>
          <w:spacing w:val="-13"/>
        </w:rPr>
        <w:t xml:space="preserve"> </w:t>
      </w:r>
      <w:r>
        <w:rPr>
          <w:b/>
        </w:rPr>
        <w:t>SA.</w:t>
      </w:r>
    </w:p>
    <w:sectPr w:rsidR="00BE62AD">
      <w:type w:val="continuous"/>
      <w:pgSz w:w="11910" w:h="16840"/>
      <w:pgMar w:top="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8362E"/>
    <w:multiLevelType w:val="hybridMultilevel"/>
    <w:tmpl w:val="A3C08D94"/>
    <w:lvl w:ilvl="0" w:tplc="F8686F80">
      <w:start w:val="1"/>
      <w:numFmt w:val="decimal"/>
      <w:lvlText w:val="%1)"/>
      <w:lvlJc w:val="left"/>
      <w:pPr>
        <w:ind w:left="452" w:hanging="231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t-PT" w:eastAsia="en-US" w:bidi="ar-SA"/>
      </w:rPr>
    </w:lvl>
    <w:lvl w:ilvl="1" w:tplc="F990CEA2">
      <w:numFmt w:val="bullet"/>
      <w:lvlText w:val="•"/>
      <w:lvlJc w:val="left"/>
      <w:pPr>
        <w:ind w:left="1308" w:hanging="231"/>
      </w:pPr>
      <w:rPr>
        <w:rFonts w:hint="default"/>
        <w:lang w:val="pt-PT" w:eastAsia="en-US" w:bidi="ar-SA"/>
      </w:rPr>
    </w:lvl>
    <w:lvl w:ilvl="2" w:tplc="B7A4B9D6">
      <w:numFmt w:val="bullet"/>
      <w:lvlText w:val="•"/>
      <w:lvlJc w:val="left"/>
      <w:pPr>
        <w:ind w:left="2157" w:hanging="231"/>
      </w:pPr>
      <w:rPr>
        <w:rFonts w:hint="default"/>
        <w:lang w:val="pt-PT" w:eastAsia="en-US" w:bidi="ar-SA"/>
      </w:rPr>
    </w:lvl>
    <w:lvl w:ilvl="3" w:tplc="E460FD6E">
      <w:numFmt w:val="bullet"/>
      <w:lvlText w:val="•"/>
      <w:lvlJc w:val="left"/>
      <w:pPr>
        <w:ind w:left="3005" w:hanging="231"/>
      </w:pPr>
      <w:rPr>
        <w:rFonts w:hint="default"/>
        <w:lang w:val="pt-PT" w:eastAsia="en-US" w:bidi="ar-SA"/>
      </w:rPr>
    </w:lvl>
    <w:lvl w:ilvl="4" w:tplc="F8E8703A">
      <w:numFmt w:val="bullet"/>
      <w:lvlText w:val="•"/>
      <w:lvlJc w:val="left"/>
      <w:pPr>
        <w:ind w:left="3854" w:hanging="231"/>
      </w:pPr>
      <w:rPr>
        <w:rFonts w:hint="default"/>
        <w:lang w:val="pt-PT" w:eastAsia="en-US" w:bidi="ar-SA"/>
      </w:rPr>
    </w:lvl>
    <w:lvl w:ilvl="5" w:tplc="FE720EE2">
      <w:numFmt w:val="bullet"/>
      <w:lvlText w:val="•"/>
      <w:lvlJc w:val="left"/>
      <w:pPr>
        <w:ind w:left="4703" w:hanging="231"/>
      </w:pPr>
      <w:rPr>
        <w:rFonts w:hint="default"/>
        <w:lang w:val="pt-PT" w:eastAsia="en-US" w:bidi="ar-SA"/>
      </w:rPr>
    </w:lvl>
    <w:lvl w:ilvl="6" w:tplc="45DC9110">
      <w:numFmt w:val="bullet"/>
      <w:lvlText w:val="•"/>
      <w:lvlJc w:val="left"/>
      <w:pPr>
        <w:ind w:left="5551" w:hanging="231"/>
      </w:pPr>
      <w:rPr>
        <w:rFonts w:hint="default"/>
        <w:lang w:val="pt-PT" w:eastAsia="en-US" w:bidi="ar-SA"/>
      </w:rPr>
    </w:lvl>
    <w:lvl w:ilvl="7" w:tplc="81FAEBE8">
      <w:numFmt w:val="bullet"/>
      <w:lvlText w:val="•"/>
      <w:lvlJc w:val="left"/>
      <w:pPr>
        <w:ind w:left="6400" w:hanging="231"/>
      </w:pPr>
      <w:rPr>
        <w:rFonts w:hint="default"/>
        <w:lang w:val="pt-PT" w:eastAsia="en-US" w:bidi="ar-SA"/>
      </w:rPr>
    </w:lvl>
    <w:lvl w:ilvl="8" w:tplc="CB9807EA">
      <w:numFmt w:val="bullet"/>
      <w:lvlText w:val="•"/>
      <w:lvlJc w:val="left"/>
      <w:pPr>
        <w:ind w:left="7249" w:hanging="231"/>
      </w:pPr>
      <w:rPr>
        <w:rFonts w:hint="default"/>
        <w:lang w:val="pt-PT" w:eastAsia="en-US" w:bidi="ar-SA"/>
      </w:rPr>
    </w:lvl>
  </w:abstractNum>
  <w:abstractNum w:abstractNumId="1" w15:restartNumberingAfterBreak="0">
    <w:nsid w:val="6C6415D1"/>
    <w:multiLevelType w:val="hybridMultilevel"/>
    <w:tmpl w:val="2F0AD87E"/>
    <w:lvl w:ilvl="0" w:tplc="D50CDE24">
      <w:start w:val="1"/>
      <w:numFmt w:val="decimal"/>
      <w:lvlText w:val="%1."/>
      <w:lvlJc w:val="left"/>
      <w:pPr>
        <w:ind w:left="442" w:hanging="221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t-PT" w:eastAsia="en-US" w:bidi="ar-SA"/>
      </w:rPr>
    </w:lvl>
    <w:lvl w:ilvl="1" w:tplc="8584B090">
      <w:numFmt w:val="bullet"/>
      <w:lvlText w:val="•"/>
      <w:lvlJc w:val="left"/>
      <w:pPr>
        <w:ind w:left="1290" w:hanging="221"/>
      </w:pPr>
      <w:rPr>
        <w:rFonts w:hint="default"/>
        <w:lang w:val="pt-PT" w:eastAsia="en-US" w:bidi="ar-SA"/>
      </w:rPr>
    </w:lvl>
    <w:lvl w:ilvl="2" w:tplc="1B607DC4">
      <w:numFmt w:val="bullet"/>
      <w:lvlText w:val="•"/>
      <w:lvlJc w:val="left"/>
      <w:pPr>
        <w:ind w:left="2141" w:hanging="221"/>
      </w:pPr>
      <w:rPr>
        <w:rFonts w:hint="default"/>
        <w:lang w:val="pt-PT" w:eastAsia="en-US" w:bidi="ar-SA"/>
      </w:rPr>
    </w:lvl>
    <w:lvl w:ilvl="3" w:tplc="6B38CEBC">
      <w:numFmt w:val="bullet"/>
      <w:lvlText w:val="•"/>
      <w:lvlJc w:val="left"/>
      <w:pPr>
        <w:ind w:left="2991" w:hanging="221"/>
      </w:pPr>
      <w:rPr>
        <w:rFonts w:hint="default"/>
        <w:lang w:val="pt-PT" w:eastAsia="en-US" w:bidi="ar-SA"/>
      </w:rPr>
    </w:lvl>
    <w:lvl w:ilvl="4" w:tplc="82B25658">
      <w:numFmt w:val="bullet"/>
      <w:lvlText w:val="•"/>
      <w:lvlJc w:val="left"/>
      <w:pPr>
        <w:ind w:left="3842" w:hanging="221"/>
      </w:pPr>
      <w:rPr>
        <w:rFonts w:hint="default"/>
        <w:lang w:val="pt-PT" w:eastAsia="en-US" w:bidi="ar-SA"/>
      </w:rPr>
    </w:lvl>
    <w:lvl w:ilvl="5" w:tplc="023613F6">
      <w:numFmt w:val="bullet"/>
      <w:lvlText w:val="•"/>
      <w:lvlJc w:val="left"/>
      <w:pPr>
        <w:ind w:left="4693" w:hanging="221"/>
      </w:pPr>
      <w:rPr>
        <w:rFonts w:hint="default"/>
        <w:lang w:val="pt-PT" w:eastAsia="en-US" w:bidi="ar-SA"/>
      </w:rPr>
    </w:lvl>
    <w:lvl w:ilvl="6" w:tplc="44CC93B2">
      <w:numFmt w:val="bullet"/>
      <w:lvlText w:val="•"/>
      <w:lvlJc w:val="left"/>
      <w:pPr>
        <w:ind w:left="5543" w:hanging="221"/>
      </w:pPr>
      <w:rPr>
        <w:rFonts w:hint="default"/>
        <w:lang w:val="pt-PT" w:eastAsia="en-US" w:bidi="ar-SA"/>
      </w:rPr>
    </w:lvl>
    <w:lvl w:ilvl="7" w:tplc="7A7A2F5E">
      <w:numFmt w:val="bullet"/>
      <w:lvlText w:val="•"/>
      <w:lvlJc w:val="left"/>
      <w:pPr>
        <w:ind w:left="6394" w:hanging="221"/>
      </w:pPr>
      <w:rPr>
        <w:rFonts w:hint="default"/>
        <w:lang w:val="pt-PT" w:eastAsia="en-US" w:bidi="ar-SA"/>
      </w:rPr>
    </w:lvl>
    <w:lvl w:ilvl="8" w:tplc="78D62436">
      <w:numFmt w:val="bullet"/>
      <w:lvlText w:val="•"/>
      <w:lvlJc w:val="left"/>
      <w:pPr>
        <w:ind w:left="7245" w:hanging="22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2AD"/>
    <w:rsid w:val="00BE62AD"/>
    <w:rsid w:val="00CF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7F45"/>
  <w15:docId w15:val="{42BF49A2-E128-48BE-A3EB-7E995F48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Heading1">
    <w:name w:val="heading 1"/>
    <w:basedOn w:val="Normal"/>
    <w:uiPriority w:val="9"/>
    <w:qFormat/>
    <w:pPr>
      <w:spacing w:before="56"/>
      <w:ind w:left="22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7"/>
      <w:ind w:left="2019" w:right="201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22" w:hanging="221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989CEAB1EC043B6482996C447627D" ma:contentTypeVersion="10" ma:contentTypeDescription="Create a new document." ma:contentTypeScope="" ma:versionID="57693c0b38b1228b1fd8b73d8eb810bb">
  <xsd:schema xmlns:xsd="http://www.w3.org/2001/XMLSchema" xmlns:xs="http://www.w3.org/2001/XMLSchema" xmlns:p="http://schemas.microsoft.com/office/2006/metadata/properties" xmlns:ns2="0b0f88c5-7797-4b36-bf05-1af6eb892ba1" targetNamespace="http://schemas.microsoft.com/office/2006/metadata/properties" ma:root="true" ma:fieldsID="d3392396b3288ac3df478a73fb6317fd" ns2:_="">
    <xsd:import namespace="0b0f88c5-7797-4b36-bf05-1af6eb892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f88c5-7797-4b36-bf05-1af6eb892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9C2AE-8E2B-4846-A0F8-D25F7DB51ACC}"/>
</file>

<file path=customXml/itemProps2.xml><?xml version="1.0" encoding="utf-8"?>
<ds:datastoreItem xmlns:ds="http://schemas.openxmlformats.org/officeDocument/2006/customXml" ds:itemID="{F435E2CC-E6F6-48DE-806A-2A19928014FD}"/>
</file>

<file path=customXml/itemProps3.xml><?xml version="1.0" encoding="utf-8"?>
<ds:datastoreItem xmlns:ds="http://schemas.openxmlformats.org/officeDocument/2006/customXml" ds:itemID="{3E5A3915-1E02-4378-BC36-4912FBD4B3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Susana Parreira</cp:lastModifiedBy>
  <cp:revision>2</cp:revision>
  <dcterms:created xsi:type="dcterms:W3CDTF">2020-07-27T10:53:00Z</dcterms:created>
  <dcterms:modified xsi:type="dcterms:W3CDTF">2020-07-27T13:58:00Z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0x0101006F4989CEAB1EC043B6482996C447627D</vt:lpwstr>
  </property>
</Properties>
</file>